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76E" w:rsidRDefault="004C0716">
      <w:pPr>
        <w:pStyle w:val="Textoindependiente"/>
        <w:ind w:left="3243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</w:rPr>
        <w:drawing>
          <wp:inline distT="0" distB="0" distL="0" distR="0">
            <wp:extent cx="2349541" cy="66751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9541" cy="66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76E" w:rsidRDefault="0092176E">
      <w:pPr>
        <w:pStyle w:val="Textoindependiente"/>
        <w:spacing w:before="2"/>
        <w:rPr>
          <w:rFonts w:ascii="Times New Roman"/>
          <w:sz w:val="6"/>
        </w:rPr>
      </w:pPr>
    </w:p>
    <w:p w:rsidR="0092176E" w:rsidRDefault="004C0716">
      <w:pPr>
        <w:pStyle w:val="Textoindependiente"/>
        <w:spacing w:before="101"/>
        <w:ind w:left="4177" w:right="3311" w:hanging="855"/>
        <w:rPr>
          <w:rFonts w:ascii="Arial Black" w:hAnsi="Arial Black"/>
        </w:rPr>
      </w:pPr>
      <w:r>
        <w:rPr>
          <w:rFonts w:ascii="Arial Black" w:hAnsi="Arial Black"/>
        </w:rPr>
        <w:t>COMITÉ DE TRANSPARENCIA</w:t>
      </w:r>
      <w:r>
        <w:rPr>
          <w:rFonts w:ascii="Arial Black" w:hAnsi="Arial Black"/>
          <w:spacing w:val="-71"/>
        </w:rPr>
        <w:t xml:space="preserve"> </w:t>
      </w:r>
      <w:r>
        <w:rPr>
          <w:rFonts w:ascii="Arial Black" w:hAnsi="Arial Black"/>
        </w:rPr>
        <w:t>MEMORÁNDUM</w:t>
      </w:r>
    </w:p>
    <w:p w:rsidR="0092176E" w:rsidRDefault="0092176E">
      <w:pPr>
        <w:pStyle w:val="Textoindependiente"/>
        <w:spacing w:before="1"/>
        <w:rPr>
          <w:rFonts w:ascii="Arial Black"/>
          <w:sz w:val="15"/>
        </w:rPr>
      </w:pPr>
    </w:p>
    <w:p w:rsidR="0092176E" w:rsidRDefault="004C0716">
      <w:pPr>
        <w:pStyle w:val="Ttulo1"/>
        <w:tabs>
          <w:tab w:val="left" w:pos="5216"/>
        </w:tabs>
        <w:spacing w:before="54"/>
        <w:ind w:left="5216" w:right="110" w:hanging="1416"/>
      </w:pPr>
      <w:r>
        <w:t>ASUNTO:</w:t>
      </w:r>
      <w:r>
        <w:tab/>
        <w:t>Desclasificación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expedientes</w:t>
      </w:r>
      <w:r>
        <w:rPr>
          <w:spacing w:val="7"/>
        </w:rPr>
        <w:t xml:space="preserve"> </w:t>
      </w:r>
      <w:r>
        <w:t>registrados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-43"/>
        </w:rPr>
        <w:t xml:space="preserve"> </w:t>
      </w:r>
      <w:r>
        <w:t>SIER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oficinas de FIRA.</w:t>
      </w:r>
    </w:p>
    <w:p w:rsidR="0092176E" w:rsidRDefault="0092176E">
      <w:pPr>
        <w:pStyle w:val="Textoindependiente"/>
        <w:spacing w:before="11"/>
        <w:rPr>
          <w:b/>
          <w:sz w:val="21"/>
        </w:rPr>
      </w:pPr>
    </w:p>
    <w:p w:rsidR="0092176E" w:rsidRDefault="004C0716">
      <w:pPr>
        <w:ind w:left="112" w:right="107"/>
        <w:jc w:val="both"/>
      </w:pPr>
      <w:r>
        <w:t>Se somete a consideración de los miembros del Comité de Transparencia, con fundamento en el artículo 99,</w:t>
      </w:r>
      <w:r>
        <w:rPr>
          <w:spacing w:val="1"/>
        </w:rPr>
        <w:t xml:space="preserve"> </w:t>
      </w:r>
      <w:r>
        <w:t>fracción I, II y IV, de la “</w:t>
      </w:r>
      <w:r>
        <w:rPr>
          <w:i/>
        </w:rPr>
        <w:t xml:space="preserve">Ley Federal de Transparencia y Acceso a la Información Pública”, el </w:t>
      </w:r>
      <w:r>
        <w:t>artículo 101, incisos I,</w:t>
      </w:r>
      <w:r>
        <w:rPr>
          <w:spacing w:val="1"/>
        </w:rPr>
        <w:t xml:space="preserve"> </w:t>
      </w:r>
      <w:r>
        <w:t>II y IV, de la “</w:t>
      </w:r>
      <w:r>
        <w:rPr>
          <w:i/>
        </w:rPr>
        <w:t>Ley General de Transparencia y Acceso a la Información Pública”</w:t>
      </w:r>
      <w:r>
        <w:t>, así como el Lineamiento Décimo</w:t>
      </w:r>
      <w:r>
        <w:rPr>
          <w:spacing w:val="1"/>
        </w:rPr>
        <w:t xml:space="preserve"> </w:t>
      </w:r>
      <w:r>
        <w:t>Sexto, fracción I de lo</w:t>
      </w:r>
      <w:r>
        <w:t>s “</w:t>
      </w:r>
      <w:r>
        <w:rPr>
          <w:i/>
        </w:rPr>
        <w:t>Lineamientos generales en materia de clasificación y desclasificación de la información,</w:t>
      </w:r>
      <w:r>
        <w:rPr>
          <w:i/>
          <w:spacing w:val="1"/>
        </w:rPr>
        <w:t xml:space="preserve"> </w:t>
      </w:r>
      <w:r>
        <w:rPr>
          <w:i/>
        </w:rPr>
        <w:t>así</w:t>
      </w:r>
      <w:r>
        <w:rPr>
          <w:i/>
          <w:spacing w:val="-2"/>
        </w:rPr>
        <w:t xml:space="preserve"> </w:t>
      </w:r>
      <w:r>
        <w:rPr>
          <w:i/>
        </w:rPr>
        <w:t>como</w:t>
      </w:r>
      <w:r>
        <w:rPr>
          <w:i/>
          <w:spacing w:val="-2"/>
        </w:rPr>
        <w:t xml:space="preserve"> </w:t>
      </w:r>
      <w:r>
        <w:rPr>
          <w:i/>
        </w:rPr>
        <w:t>para la elaboración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 xml:space="preserve">versiones pública”, </w:t>
      </w:r>
      <w:r>
        <w:t>lo</w:t>
      </w:r>
      <w:r>
        <w:rPr>
          <w:spacing w:val="-2"/>
        </w:rPr>
        <w:t xml:space="preserve"> </w:t>
      </w:r>
      <w:r>
        <w:t>siguiente:</w:t>
      </w:r>
    </w:p>
    <w:p w:rsidR="0092176E" w:rsidRDefault="0092176E">
      <w:pPr>
        <w:pStyle w:val="Textoindependiente"/>
        <w:spacing w:before="4"/>
      </w:pPr>
    </w:p>
    <w:p w:rsidR="0092176E" w:rsidRDefault="004C0716">
      <w:pPr>
        <w:pStyle w:val="Prrafodelista"/>
        <w:numPr>
          <w:ilvl w:val="0"/>
          <w:numId w:val="1"/>
        </w:numPr>
        <w:tabs>
          <w:tab w:val="left" w:pos="821"/>
          <w:tab w:val="left" w:pos="822"/>
        </w:tabs>
        <w:spacing w:line="237" w:lineRule="auto"/>
        <w:ind w:hanging="360"/>
      </w:pPr>
      <w:r>
        <w:t>La</w:t>
      </w:r>
      <w:r>
        <w:rPr>
          <w:spacing w:val="16"/>
        </w:rPr>
        <w:t xml:space="preserve"> </w:t>
      </w:r>
      <w:r>
        <w:t>desclasificación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expedientes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encuentran</w:t>
      </w:r>
      <w:r>
        <w:rPr>
          <w:spacing w:val="17"/>
        </w:rPr>
        <w:t xml:space="preserve"> </w:t>
      </w:r>
      <w:r>
        <w:t>clasificados</w:t>
      </w:r>
      <w:r>
        <w:rPr>
          <w:spacing w:val="18"/>
        </w:rPr>
        <w:t xml:space="preserve"> </w:t>
      </w:r>
      <w:r>
        <w:t>como</w:t>
      </w:r>
      <w:r>
        <w:rPr>
          <w:spacing w:val="15"/>
        </w:rPr>
        <w:t xml:space="preserve"> </w:t>
      </w:r>
      <w:r>
        <w:t>reservados</w:t>
      </w:r>
      <w:r>
        <w:rPr>
          <w:spacing w:val="20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Sistema</w:t>
      </w:r>
      <w:r>
        <w:rPr>
          <w:spacing w:val="1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Índices</w:t>
      </w:r>
      <w:r>
        <w:rPr>
          <w:spacing w:val="-2"/>
        </w:rPr>
        <w:t xml:space="preserve"> </w:t>
      </w:r>
      <w:r>
        <w:t>de Expedientes</w:t>
      </w:r>
      <w:r>
        <w:rPr>
          <w:spacing w:val="-1"/>
        </w:rPr>
        <w:t xml:space="preserve"> </w:t>
      </w:r>
      <w:r>
        <w:t>Reservados</w:t>
      </w:r>
      <w:r>
        <w:rPr>
          <w:spacing w:val="-4"/>
        </w:rPr>
        <w:t xml:space="preserve"> </w:t>
      </w:r>
      <w:r>
        <w:t>(SIER)</w:t>
      </w:r>
    </w:p>
    <w:p w:rsidR="0092176E" w:rsidRDefault="0092176E">
      <w:pPr>
        <w:pStyle w:val="Textoindependiente"/>
        <w:spacing w:before="2"/>
      </w:pPr>
    </w:p>
    <w:p w:rsidR="0092176E" w:rsidRDefault="004C0716">
      <w:pPr>
        <w:pStyle w:val="Textoindependiente"/>
        <w:ind w:left="112" w:right="117"/>
        <w:jc w:val="both"/>
      </w:pP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derivado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revisión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Subdirección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Asuntos</w:t>
      </w:r>
      <w:r>
        <w:rPr>
          <w:spacing w:val="1"/>
        </w:rPr>
        <w:t xml:space="preserve"> </w:t>
      </w:r>
      <w:r>
        <w:t>Administrativos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SIER,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identificaron</w:t>
      </w:r>
      <w:r>
        <w:rPr>
          <w:spacing w:val="3"/>
        </w:rPr>
        <w:t xml:space="preserve"> </w:t>
      </w:r>
      <w:r>
        <w:t>10,468</w:t>
      </w:r>
      <w:r>
        <w:rPr>
          <w:spacing w:val="-4"/>
        </w:rPr>
        <w:t xml:space="preserve"> </w:t>
      </w:r>
      <w:r>
        <w:t>expedientes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FIRA</w:t>
      </w:r>
      <w:r>
        <w:rPr>
          <w:spacing w:val="-2"/>
        </w:rPr>
        <w:t xml:space="preserve"> </w:t>
      </w:r>
      <w:r>
        <w:t>cuya</w:t>
      </w:r>
      <w:r>
        <w:rPr>
          <w:spacing w:val="-2"/>
        </w:rPr>
        <w:t xml:space="preserve"> </w:t>
      </w:r>
      <w:r>
        <w:t>vigencia</w:t>
      </w:r>
      <w:r>
        <w:rPr>
          <w:spacing w:val="-2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concluyó.</w:t>
      </w:r>
    </w:p>
    <w:p w:rsidR="0092176E" w:rsidRDefault="0092176E">
      <w:pPr>
        <w:pStyle w:val="Textoindependiente"/>
        <w:spacing w:before="1"/>
      </w:pPr>
    </w:p>
    <w:p w:rsidR="0092176E" w:rsidRDefault="004C0716">
      <w:pPr>
        <w:pStyle w:val="Prrafodelista"/>
        <w:numPr>
          <w:ilvl w:val="0"/>
          <w:numId w:val="1"/>
        </w:numPr>
        <w:tabs>
          <w:tab w:val="left" w:pos="821"/>
          <w:tab w:val="left" w:pos="822"/>
        </w:tabs>
        <w:ind w:right="114" w:hanging="360"/>
      </w:pPr>
      <w:r>
        <w:t>El</w:t>
      </w:r>
      <w:r>
        <w:rPr>
          <w:spacing w:val="-2"/>
        </w:rPr>
        <w:t xml:space="preserve"> </w:t>
      </w:r>
      <w:r>
        <w:t>informe de</w:t>
      </w:r>
      <w:r>
        <w:rPr>
          <w:spacing w:val="1"/>
        </w:rPr>
        <w:t xml:space="preserve"> </w:t>
      </w:r>
      <w:r>
        <w:t>desclasificación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expedientes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Unidades Administrativas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FIRA,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cuales se</w:t>
      </w:r>
      <w:r>
        <w:rPr>
          <w:spacing w:val="1"/>
        </w:rPr>
        <w:t xml:space="preserve"> </w:t>
      </w:r>
      <w:r>
        <w:t>identificaron</w:t>
      </w:r>
      <w:r>
        <w:rPr>
          <w:spacing w:val="-1"/>
        </w:rPr>
        <w:t xml:space="preserve"> </w:t>
      </w:r>
      <w:r>
        <w:t>642</w:t>
      </w:r>
      <w:r>
        <w:rPr>
          <w:spacing w:val="-1"/>
        </w:rPr>
        <w:t xml:space="preserve"> </w:t>
      </w:r>
      <w:r>
        <w:t>expedientes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encontraban registrados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SIER.</w:t>
      </w:r>
    </w:p>
    <w:p w:rsidR="0092176E" w:rsidRDefault="0092176E">
      <w:pPr>
        <w:pStyle w:val="Textoindependiente"/>
        <w:spacing w:before="3"/>
      </w:pPr>
    </w:p>
    <w:p w:rsidR="0092176E" w:rsidRDefault="004C0716">
      <w:pPr>
        <w:pStyle w:val="Textoindependiente"/>
        <w:spacing w:line="237" w:lineRule="auto"/>
        <w:ind w:left="112" w:right="114"/>
        <w:jc w:val="both"/>
      </w:pPr>
      <w:r>
        <w:t>Lo anterior, en virtud de que algunos expedientes terminaron su periodo de reserva y para otros no subsisten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causas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dieron origen 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clasificación.</w:t>
      </w:r>
    </w:p>
    <w:p w:rsidR="0092176E" w:rsidRDefault="0092176E">
      <w:pPr>
        <w:pStyle w:val="Textoindependiente"/>
        <w:spacing w:before="2"/>
      </w:pPr>
    </w:p>
    <w:p w:rsidR="0092176E" w:rsidRDefault="004C0716">
      <w:pPr>
        <w:pStyle w:val="Textoindependiente"/>
        <w:ind w:left="112" w:right="109"/>
        <w:jc w:val="both"/>
      </w:pPr>
      <w:r>
        <w:t>Por lo expuesto, se solicita a este Comité la desclasificación de los 11,110 expedientes que se p</w:t>
      </w:r>
      <w:r>
        <w:t>resentan en</w:t>
      </w:r>
      <w:r>
        <w:rPr>
          <w:spacing w:val="1"/>
        </w:rPr>
        <w:t xml:space="preserve"> </w:t>
      </w:r>
      <w:r>
        <w:t>archivo</w:t>
      </w:r>
      <w:r>
        <w:rPr>
          <w:spacing w:val="1"/>
        </w:rPr>
        <w:t xml:space="preserve"> </w:t>
      </w:r>
      <w:r>
        <w:t>adjunto</w:t>
      </w:r>
      <w:r>
        <w:rPr>
          <w:spacing w:val="1"/>
        </w:rPr>
        <w:t xml:space="preserve"> </w:t>
      </w:r>
      <w:r>
        <w:t>(Anexo</w:t>
      </w:r>
      <w:r>
        <w:rPr>
          <w:spacing w:val="1"/>
        </w:rPr>
        <w:t xml:space="preserve"> </w:t>
      </w:r>
      <w:r>
        <w:t>1),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conducentes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Transparencia, Acceso a la Información y Protección de Datos Personales (INAI), para actualizar los mismos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señalado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darse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enterados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desclasificación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expedientes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Unidades Administrativas (Anexo 2) entre los cuales se incluyen 642 registrados en el SIER, a fin de que se</w:t>
      </w:r>
      <w:r>
        <w:rPr>
          <w:spacing w:val="1"/>
        </w:rPr>
        <w:t xml:space="preserve"> </w:t>
      </w:r>
      <w:r>
        <w:t>realicen las actualizaciones en dicho sistema y en los demás casos para que ca</w:t>
      </w:r>
      <w:r>
        <w:t>da oficina actualice sus registros</w:t>
      </w:r>
      <w:r>
        <w:rPr>
          <w:spacing w:val="1"/>
        </w:rPr>
        <w:t xml:space="preserve"> </w:t>
      </w:r>
      <w:r>
        <w:t>correspondientes.</w:t>
      </w:r>
    </w:p>
    <w:p w:rsidR="0092176E" w:rsidRDefault="0092176E">
      <w:pPr>
        <w:pStyle w:val="Textoindependiente"/>
        <w:spacing w:before="12"/>
        <w:rPr>
          <w:sz w:val="21"/>
        </w:rPr>
      </w:pPr>
    </w:p>
    <w:p w:rsidR="0092176E" w:rsidRDefault="004C0716">
      <w:pPr>
        <w:pStyle w:val="Textoindependiente"/>
        <w:ind w:left="112"/>
        <w:jc w:val="both"/>
      </w:pPr>
      <w:r>
        <w:t>Atento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sugiere</w:t>
      </w:r>
      <w:r>
        <w:rPr>
          <w:spacing w:val="-1"/>
        </w:rPr>
        <w:t xml:space="preserve"> </w:t>
      </w:r>
      <w:r>
        <w:t>tomar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siguiente:</w:t>
      </w:r>
    </w:p>
    <w:p w:rsidR="0092176E" w:rsidRDefault="0092176E">
      <w:pPr>
        <w:pStyle w:val="Textoindependiente"/>
      </w:pPr>
    </w:p>
    <w:p w:rsidR="0092176E" w:rsidRDefault="004C0716">
      <w:pPr>
        <w:pStyle w:val="Ttulo1"/>
        <w:ind w:left="4219"/>
        <w:jc w:val="center"/>
      </w:pPr>
      <w:r>
        <w:t>A</w:t>
      </w:r>
      <w:r>
        <w:rPr>
          <w:spacing w:val="-1"/>
        </w:rPr>
        <w:t xml:space="preserve"> </w:t>
      </w:r>
      <w:r>
        <w:t>C U E R</w:t>
      </w:r>
      <w:r>
        <w:rPr>
          <w:spacing w:val="1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O</w:t>
      </w:r>
    </w:p>
    <w:p w:rsidR="0092176E" w:rsidRDefault="0092176E">
      <w:pPr>
        <w:pStyle w:val="Textoindependiente"/>
        <w:spacing w:before="1"/>
        <w:rPr>
          <w:b/>
        </w:rPr>
      </w:pPr>
    </w:p>
    <w:p w:rsidR="0092176E" w:rsidRDefault="004C0716">
      <w:pPr>
        <w:ind w:left="112" w:right="108"/>
        <w:jc w:val="both"/>
        <w:rPr>
          <w:b/>
        </w:rPr>
      </w:pPr>
      <w:r>
        <w:rPr>
          <w:b/>
        </w:rPr>
        <w:t>Los miembros del Comité de Transparencia autorizan la desclasificación los expedientes señalados en el</w:t>
      </w:r>
      <w:r>
        <w:rPr>
          <w:b/>
          <w:spacing w:val="1"/>
        </w:rPr>
        <w:t xml:space="preserve"> </w:t>
      </w:r>
      <w:r>
        <w:rPr>
          <w:b/>
        </w:rPr>
        <w:t>Anexo 1, conforme al fundamento y motivación expuestos y se dan por enterados de la desclasificación</w:t>
      </w:r>
      <w:r>
        <w:rPr>
          <w:b/>
          <w:spacing w:val="1"/>
        </w:rPr>
        <w:t xml:space="preserve"> </w:t>
      </w:r>
      <w:r>
        <w:rPr>
          <w:b/>
        </w:rPr>
        <w:t>realizada por las Unidades Administrativas (Anexo 2) e instruyen a la Unidad de Transparencia para que</w:t>
      </w:r>
      <w:r>
        <w:rPr>
          <w:b/>
          <w:spacing w:val="1"/>
        </w:rPr>
        <w:t xml:space="preserve"> </w:t>
      </w:r>
      <w:r>
        <w:rPr>
          <w:b/>
        </w:rPr>
        <w:t>efectúe las gestiones necesarias ante el INAI con el</w:t>
      </w:r>
      <w:r>
        <w:rPr>
          <w:b/>
        </w:rPr>
        <w:t xml:space="preserve"> objeto de que realicen las actualizaciones de los</w:t>
      </w:r>
      <w:r>
        <w:rPr>
          <w:b/>
          <w:spacing w:val="1"/>
        </w:rPr>
        <w:t xml:space="preserve"> </w:t>
      </w:r>
      <w:r>
        <w:rPr>
          <w:b/>
        </w:rPr>
        <w:t>registros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expedientes</w:t>
      </w:r>
      <w:r>
        <w:rPr>
          <w:b/>
          <w:spacing w:val="-3"/>
        </w:rPr>
        <w:t xml:space="preserve"> </w:t>
      </w:r>
      <w:r>
        <w:rPr>
          <w:b/>
        </w:rPr>
        <w:t>en el</w:t>
      </w:r>
      <w:r>
        <w:rPr>
          <w:b/>
          <w:spacing w:val="-1"/>
        </w:rPr>
        <w:t xml:space="preserve"> </w:t>
      </w:r>
      <w:r>
        <w:rPr>
          <w:b/>
        </w:rPr>
        <w:t>SIER.</w:t>
      </w:r>
    </w:p>
    <w:p w:rsidR="0092176E" w:rsidRDefault="004C0716">
      <w:pPr>
        <w:pStyle w:val="Textoindependiente"/>
        <w:spacing w:before="2"/>
        <w:ind w:left="4219" w:right="4220"/>
        <w:jc w:val="center"/>
      </w:pPr>
      <w:r>
        <w:t>Abril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2017</w:t>
      </w:r>
    </w:p>
    <w:p w:rsidR="0092176E" w:rsidRDefault="0092176E">
      <w:pPr>
        <w:pStyle w:val="Textoindependiente"/>
        <w:spacing w:before="10"/>
        <w:rPr>
          <w:sz w:val="21"/>
        </w:rPr>
      </w:pPr>
    </w:p>
    <w:p w:rsidR="0092176E" w:rsidRDefault="004C0716">
      <w:pPr>
        <w:pStyle w:val="Ttulo1"/>
        <w:ind w:left="4220"/>
        <w:jc w:val="center"/>
      </w:pPr>
      <w:r>
        <w:t>A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 t a m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 t</w:t>
      </w:r>
      <w:r>
        <w:rPr>
          <w:spacing w:val="-2"/>
        </w:rPr>
        <w:t xml:space="preserve"> </w:t>
      </w:r>
      <w:r>
        <w:t>e</w:t>
      </w:r>
    </w:p>
    <w:p w:rsidR="0092176E" w:rsidRDefault="004C0716">
      <w:pPr>
        <w:ind w:left="2621"/>
        <w:rPr>
          <w:b/>
        </w:rPr>
      </w:pPr>
      <w:r>
        <w:rPr>
          <w:b/>
        </w:rPr>
        <w:t>TITULAR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UNIDAD DE TRANSPARENCIA</w:t>
      </w:r>
    </w:p>
    <w:p w:rsidR="0092176E" w:rsidRDefault="0092176E">
      <w:pPr>
        <w:pStyle w:val="Textoindependiente"/>
        <w:rPr>
          <w:b/>
          <w:sz w:val="20"/>
        </w:rPr>
      </w:pPr>
    </w:p>
    <w:p w:rsidR="0092176E" w:rsidRDefault="004C0716">
      <w:pPr>
        <w:pStyle w:val="Textoindependiente"/>
        <w:spacing w:before="4"/>
        <w:rPr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847725</wp:posOffset>
                </wp:positionH>
                <wp:positionV relativeFrom="paragraph">
                  <wp:posOffset>257175</wp:posOffset>
                </wp:positionV>
                <wp:extent cx="606933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9330" cy="1270"/>
                        </a:xfrm>
                        <a:custGeom>
                          <a:avLst/>
                          <a:gdLst>
                            <a:gd name="T0" fmla="+- 0 1335 1335"/>
                            <a:gd name="T1" fmla="*/ T0 w 9558"/>
                            <a:gd name="T2" fmla="+- 0 10892 1335"/>
                            <a:gd name="T3" fmla="*/ T2 w 9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58">
                              <a:moveTo>
                                <a:pt x="0" y="0"/>
                              </a:moveTo>
                              <a:lnTo>
                                <a:pt x="955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80B85" id="Freeform 2" o:spid="_x0000_s1026" style="position:absolute;margin-left:66.75pt;margin-top:20.25pt;width:477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" path="m,l9557,e" filled="f" strokeweight=".22136mm">
                <v:path arrowok="t" o:connecttype="custom" o:connectlocs="0,0;6068695,0" o:connectangles="0,0"/>
                <w10:wrap type="topAndBottom" anchorx="page"/>
              </v:shape>
            </w:pict>
          </mc:Fallback>
        </mc:AlternateContent>
      </w:r>
    </w:p>
    <w:p w:rsidR="0092176E" w:rsidRDefault="004C0716">
      <w:pPr>
        <w:tabs>
          <w:tab w:val="left" w:pos="8913"/>
        </w:tabs>
        <w:spacing w:before="111"/>
        <w:ind w:left="343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SESIÓN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No.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01/2017</w:t>
      </w:r>
      <w:r>
        <w:rPr>
          <w:rFonts w:ascii="Arial MT" w:hAnsi="Arial MT"/>
          <w:sz w:val="14"/>
        </w:rPr>
        <w:tab/>
        <w:t>Abril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de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2017</w:t>
      </w:r>
    </w:p>
    <w:sectPr w:rsidR="0092176E">
      <w:type w:val="continuous"/>
      <w:pgSz w:w="12250" w:h="15850"/>
      <w:pgMar w:top="5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43511"/>
    <w:multiLevelType w:val="hybridMultilevel"/>
    <w:tmpl w:val="3B660C4C"/>
    <w:lvl w:ilvl="0" w:tplc="451A6AD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B7C8132">
      <w:numFmt w:val="bullet"/>
      <w:lvlText w:val="•"/>
      <w:lvlJc w:val="left"/>
      <w:pPr>
        <w:ind w:left="1776" w:hanging="348"/>
      </w:pPr>
      <w:rPr>
        <w:rFonts w:hint="default"/>
        <w:lang w:val="es-ES" w:eastAsia="en-US" w:bidi="ar-SA"/>
      </w:rPr>
    </w:lvl>
    <w:lvl w:ilvl="2" w:tplc="F8E03404">
      <w:numFmt w:val="bullet"/>
      <w:lvlText w:val="•"/>
      <w:lvlJc w:val="left"/>
      <w:pPr>
        <w:ind w:left="2712" w:hanging="348"/>
      </w:pPr>
      <w:rPr>
        <w:rFonts w:hint="default"/>
        <w:lang w:val="es-ES" w:eastAsia="en-US" w:bidi="ar-SA"/>
      </w:rPr>
    </w:lvl>
    <w:lvl w:ilvl="3" w:tplc="04F6CD6A">
      <w:numFmt w:val="bullet"/>
      <w:lvlText w:val="•"/>
      <w:lvlJc w:val="left"/>
      <w:pPr>
        <w:ind w:left="3648" w:hanging="348"/>
      </w:pPr>
      <w:rPr>
        <w:rFonts w:hint="default"/>
        <w:lang w:val="es-ES" w:eastAsia="en-US" w:bidi="ar-SA"/>
      </w:rPr>
    </w:lvl>
    <w:lvl w:ilvl="4" w:tplc="EB3863C4">
      <w:numFmt w:val="bullet"/>
      <w:lvlText w:val="•"/>
      <w:lvlJc w:val="left"/>
      <w:pPr>
        <w:ind w:left="4584" w:hanging="348"/>
      </w:pPr>
      <w:rPr>
        <w:rFonts w:hint="default"/>
        <w:lang w:val="es-ES" w:eastAsia="en-US" w:bidi="ar-SA"/>
      </w:rPr>
    </w:lvl>
    <w:lvl w:ilvl="5" w:tplc="D0F009EC">
      <w:numFmt w:val="bullet"/>
      <w:lvlText w:val="•"/>
      <w:lvlJc w:val="left"/>
      <w:pPr>
        <w:ind w:left="5521" w:hanging="348"/>
      </w:pPr>
      <w:rPr>
        <w:rFonts w:hint="default"/>
        <w:lang w:val="es-ES" w:eastAsia="en-US" w:bidi="ar-SA"/>
      </w:rPr>
    </w:lvl>
    <w:lvl w:ilvl="6" w:tplc="00BC8CC2">
      <w:numFmt w:val="bullet"/>
      <w:lvlText w:val="•"/>
      <w:lvlJc w:val="left"/>
      <w:pPr>
        <w:ind w:left="6457" w:hanging="348"/>
      </w:pPr>
      <w:rPr>
        <w:rFonts w:hint="default"/>
        <w:lang w:val="es-ES" w:eastAsia="en-US" w:bidi="ar-SA"/>
      </w:rPr>
    </w:lvl>
    <w:lvl w:ilvl="7" w:tplc="849CD606">
      <w:numFmt w:val="bullet"/>
      <w:lvlText w:val="•"/>
      <w:lvlJc w:val="left"/>
      <w:pPr>
        <w:ind w:left="7393" w:hanging="348"/>
      </w:pPr>
      <w:rPr>
        <w:rFonts w:hint="default"/>
        <w:lang w:val="es-ES" w:eastAsia="en-US" w:bidi="ar-SA"/>
      </w:rPr>
    </w:lvl>
    <w:lvl w:ilvl="8" w:tplc="2A347516">
      <w:numFmt w:val="bullet"/>
      <w:lvlText w:val="•"/>
      <w:lvlJc w:val="left"/>
      <w:pPr>
        <w:ind w:left="8329" w:hanging="34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76E"/>
    <w:rsid w:val="004C0716"/>
    <w:rsid w:val="0092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D693AA-3406-4ADA-BB0D-A5F6AC67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rbel" w:eastAsia="Corbel" w:hAnsi="Corbel" w:cs="Corbel"/>
      <w:lang w:val="es-ES"/>
    </w:rPr>
  </w:style>
  <w:style w:type="paragraph" w:styleId="Ttulo1">
    <w:name w:val="heading 1"/>
    <w:basedOn w:val="Normal"/>
    <w:uiPriority w:val="9"/>
    <w:qFormat/>
    <w:pPr>
      <w:ind w:left="112" w:right="42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3" w:right="11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(Registro o clave y número de memorándum, Arial, 12 pt</vt:lpstr>
    </vt:vector>
  </TitlesOfParts>
  <Company>FIRA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(Registro o clave y número de memorándum, Arial, 12 pt</dc:title>
  <dc:creator>FIRA - Banco de México</dc:creator>
  <cp:lastModifiedBy>Victor Hugo Perez Zavala</cp:lastModifiedBy>
  <cp:revision>2</cp:revision>
  <dcterms:created xsi:type="dcterms:W3CDTF">2022-10-10T23:21:00Z</dcterms:created>
  <dcterms:modified xsi:type="dcterms:W3CDTF">2022-10-10T23:21:00Z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2022-10-10T00:00:00Z</vt:filetime>
  </property>
</Properties>
</file>